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905" w:rsidRDefault="00997905" w:rsidP="00F05467">
      <w:pPr>
        <w:pStyle w:val="Heading1"/>
        <w:jc w:val="center"/>
      </w:pPr>
      <w:r>
        <w:t>INFORMATION DIVISION'S ROLE &amp; FUNCTION</w:t>
      </w:r>
    </w:p>
    <w:p w:rsidR="00997905" w:rsidRDefault="00997905" w:rsidP="00997905"/>
    <w:p w:rsidR="00997905" w:rsidRPr="00997905" w:rsidRDefault="00997905" w:rsidP="00997905">
      <w:pPr>
        <w:rPr>
          <w:rStyle w:val="Strong"/>
        </w:rPr>
      </w:pPr>
      <w:r w:rsidRPr="00997905">
        <w:rPr>
          <w:rStyle w:val="Strong"/>
        </w:rPr>
        <w:t>Mandate</w:t>
      </w:r>
    </w:p>
    <w:p w:rsidR="00997905" w:rsidRDefault="00997905" w:rsidP="00997905">
      <w:r>
        <w:t xml:space="preserve">The Information Division has responsibility for ensuring an appropriate Policy, Legislative and Regulatory Framework for the Information Subject.  The Division is responsible for: </w:t>
      </w:r>
    </w:p>
    <w:p w:rsidR="00997905" w:rsidRDefault="00A96599" w:rsidP="00997905">
      <w:pPr>
        <w:pStyle w:val="ListParagraph"/>
        <w:numPr>
          <w:ilvl w:val="0"/>
          <w:numId w:val="1"/>
        </w:numPr>
      </w:pPr>
      <w:r>
        <w:t>P</w:t>
      </w:r>
      <w:r w:rsidR="00997905">
        <w:t>roviding an enabling environment for the development of the Electronic Media Sector in Jamaica for the benefit of citizens, investors and other stakeholders;</w:t>
      </w:r>
    </w:p>
    <w:p w:rsidR="00997905" w:rsidRDefault="00A96599" w:rsidP="00997905">
      <w:pPr>
        <w:pStyle w:val="ListParagraph"/>
        <w:numPr>
          <w:ilvl w:val="0"/>
          <w:numId w:val="1"/>
        </w:numPr>
      </w:pPr>
      <w:r>
        <w:t>P</w:t>
      </w:r>
      <w:r w:rsidR="00997905">
        <w:t>roviding technical and administrative support to the Minister in the administration of the Broadcast Licensing Framework;</w:t>
      </w:r>
    </w:p>
    <w:p w:rsidR="00997905" w:rsidRDefault="00A96599" w:rsidP="00997905">
      <w:pPr>
        <w:pStyle w:val="ListParagraph"/>
        <w:numPr>
          <w:ilvl w:val="0"/>
          <w:numId w:val="1"/>
        </w:numPr>
      </w:pPr>
      <w:r>
        <w:t>F</w:t>
      </w:r>
      <w:r w:rsidR="00997905">
        <w:t>acilitating the preservation and efficient management of official records and enabling the dissemination of and public access to government's records and information; and</w:t>
      </w:r>
    </w:p>
    <w:p w:rsidR="00997905" w:rsidRDefault="00A96599" w:rsidP="00997905">
      <w:pPr>
        <w:pStyle w:val="ListParagraph"/>
        <w:numPr>
          <w:ilvl w:val="0"/>
          <w:numId w:val="1"/>
        </w:numPr>
      </w:pPr>
      <w:r>
        <w:t>G</w:t>
      </w:r>
      <w:r w:rsidR="00997905">
        <w:t>eneral oversight of the Agencies comprising the Information Subject, and in keeping with those responsibilities provides policy (and administrative) guidance as well as monitors the Agencies’ performance more generally.</w:t>
      </w:r>
    </w:p>
    <w:p w:rsidR="00997905" w:rsidRPr="00997905" w:rsidRDefault="00997905" w:rsidP="00997905">
      <w:pPr>
        <w:rPr>
          <w:rStyle w:val="Strong"/>
        </w:rPr>
      </w:pPr>
      <w:r w:rsidRPr="00997905">
        <w:rPr>
          <w:rStyle w:val="Strong"/>
        </w:rPr>
        <w:t xml:space="preserve">Information Subject Agency and, Department  </w:t>
      </w:r>
    </w:p>
    <w:p w:rsidR="00997905" w:rsidRDefault="00997905" w:rsidP="00997905">
      <w:r>
        <w:t>The Broadcasting Commission (the Commission) regulates the Electronic Media Sector.  The Commission is governed by provisions of the Broadcasting and Radio Re-Diffusion Act. The Commission is headed by a Chairman and Commissioners who are appointed by the Governor General. The work of the Commission is supported by a Secretariat headed by an Executive Director. (</w:t>
      </w:r>
      <w:proofErr w:type="gramStart"/>
      <w:r>
        <w:t>link</w:t>
      </w:r>
      <w:proofErr w:type="gramEnd"/>
      <w:r>
        <w:t xml:space="preserve"> to BCJ Website)</w:t>
      </w:r>
    </w:p>
    <w:p w:rsidR="00A17DD0" w:rsidRDefault="00997905" w:rsidP="00997905">
      <w:r>
        <w:t xml:space="preserve">The Jamaica Archives and Records Department (JARD)  sets standards for the management of official records in Ministries, Departments and Agencies, supports </w:t>
      </w:r>
      <w:proofErr w:type="spellStart"/>
      <w:r>
        <w:t>GoJ</w:t>
      </w:r>
      <w:proofErr w:type="spellEnd"/>
      <w:r>
        <w:t xml:space="preserve"> adherence to data and information retention schedules, and is charged with the care, storage, preservation and the provision of access to archival material. JARD is governed by the provisions of the Archives Act (the Act) and is headed by a Government Archivist.  Provision is also made in the Act for an Archives Advisory Committee headed by the Chief Justice. (Link to JARD website)</w:t>
      </w:r>
    </w:p>
    <w:p w:rsidR="00F05467" w:rsidRPr="00ED554A" w:rsidRDefault="00F05467" w:rsidP="00F05467">
      <w:pPr>
        <w:pStyle w:val="Heading1"/>
      </w:pPr>
      <w:r>
        <w:t>Vision 2030 M</w:t>
      </w:r>
      <w:r>
        <w:t xml:space="preserve">edium </w:t>
      </w:r>
      <w:r>
        <w:t>T</w:t>
      </w:r>
      <w:r>
        <w:t xml:space="preserve">erm Socio-Economic Policy </w:t>
      </w:r>
      <w:r>
        <w:t>F</w:t>
      </w:r>
      <w:r>
        <w:t>ramework</w:t>
      </w:r>
      <w:r>
        <w:t xml:space="preserve"> 2018-2</w:t>
      </w:r>
      <w:r>
        <w:t>02</w:t>
      </w:r>
      <w:r>
        <w:t>1</w:t>
      </w:r>
    </w:p>
    <w:p w:rsidR="00BD14F5" w:rsidRDefault="00BD14F5" w:rsidP="00F05467"/>
    <w:p w:rsidR="00F05467" w:rsidRDefault="00F05467" w:rsidP="00F05467">
      <w:bookmarkStart w:id="0" w:name="_GoBack"/>
      <w:bookmarkEnd w:id="0"/>
      <w:r w:rsidRPr="003C7E9C">
        <w:t>National Outcome # 6 – Effective Governance</w:t>
      </w:r>
    </w:p>
    <w:p w:rsidR="00F05467" w:rsidRDefault="00F05467" w:rsidP="00F05467">
      <w:pPr>
        <w:pStyle w:val="ListParagraph"/>
        <w:numPr>
          <w:ilvl w:val="0"/>
          <w:numId w:val="2"/>
        </w:numPr>
      </w:pPr>
      <w:r w:rsidRPr="003C7E9C">
        <w:t xml:space="preserve">Improving transparency and accountability in the public service and access to information facilitated by the Access to Information Act, Whole of Government Business Plan, </w:t>
      </w:r>
      <w:proofErr w:type="gramStart"/>
      <w:r w:rsidRPr="003C7E9C">
        <w:t>Medium</w:t>
      </w:r>
      <w:proofErr w:type="gramEnd"/>
      <w:r w:rsidRPr="003C7E9C">
        <w:t xml:space="preserve"> term budgeting. Government’s Consultation Code of Practice, and importantly, the strengthening of legislative and policy frameworks</w:t>
      </w:r>
    </w:p>
    <w:p w:rsidR="00F05467" w:rsidRDefault="00F05467" w:rsidP="00F05467"/>
    <w:p w:rsidR="00F05467" w:rsidRDefault="00F05467" w:rsidP="00F05467">
      <w:r w:rsidRPr="004D4FD7">
        <w:rPr>
          <w:b/>
        </w:rPr>
        <w:lastRenderedPageBreak/>
        <w:t>National Strategy 6-5</w:t>
      </w:r>
      <w:r>
        <w:t>: Strengthen Public Institutions to Deliver Efficient and Effective Public Goods and Services</w:t>
      </w:r>
    </w:p>
    <w:p w:rsidR="00F05467" w:rsidRDefault="00F05467" w:rsidP="00F05467">
      <w:r w:rsidRPr="004D4FD7">
        <w:rPr>
          <w:b/>
        </w:rPr>
        <w:t>Sector Strategy</w:t>
      </w:r>
      <w:r>
        <w:t>:   Strengthen the coordination and capacity of national statistics, data and information systems to support sustainable and inclusive national development</w:t>
      </w:r>
    </w:p>
    <w:tbl>
      <w:tblPr>
        <w:tblStyle w:val="TableGrid"/>
        <w:tblW w:w="0" w:type="auto"/>
        <w:tblLook w:val="04A0" w:firstRow="1" w:lastRow="0" w:firstColumn="1" w:lastColumn="0" w:noHBand="0" w:noVBand="1"/>
      </w:tblPr>
      <w:tblGrid>
        <w:gridCol w:w="538"/>
        <w:gridCol w:w="2029"/>
        <w:gridCol w:w="3571"/>
        <w:gridCol w:w="1497"/>
        <w:gridCol w:w="1381"/>
      </w:tblGrid>
      <w:tr w:rsidR="00F05467" w:rsidRPr="006D3D11" w:rsidTr="00271EF6">
        <w:tc>
          <w:tcPr>
            <w:tcW w:w="538" w:type="dxa"/>
          </w:tcPr>
          <w:p w:rsidR="00F05467" w:rsidRPr="006D3D11" w:rsidRDefault="00F05467" w:rsidP="00271EF6">
            <w:pPr>
              <w:rPr>
                <w:rFonts w:cstheme="minorHAnsi"/>
                <w:b/>
              </w:rPr>
            </w:pPr>
            <w:r w:rsidRPr="006D3D11">
              <w:rPr>
                <w:rFonts w:cstheme="minorHAnsi"/>
                <w:b/>
              </w:rPr>
              <w:t xml:space="preserve">No. </w:t>
            </w:r>
          </w:p>
        </w:tc>
        <w:tc>
          <w:tcPr>
            <w:tcW w:w="2029" w:type="dxa"/>
          </w:tcPr>
          <w:p w:rsidR="00F05467" w:rsidRPr="006D3D11" w:rsidRDefault="00F05467" w:rsidP="00271EF6">
            <w:pPr>
              <w:rPr>
                <w:rFonts w:cstheme="minorHAnsi"/>
                <w:b/>
              </w:rPr>
            </w:pPr>
            <w:r w:rsidRPr="006D3D11">
              <w:rPr>
                <w:rFonts w:cstheme="minorHAnsi"/>
                <w:b/>
              </w:rPr>
              <w:t>Priority Strategies and</w:t>
            </w:r>
          </w:p>
          <w:p w:rsidR="00F05467" w:rsidRPr="006D3D11" w:rsidRDefault="00F05467" w:rsidP="00271EF6">
            <w:pPr>
              <w:rPr>
                <w:rFonts w:cstheme="minorHAnsi"/>
                <w:b/>
              </w:rPr>
            </w:pPr>
            <w:r w:rsidRPr="006D3D11">
              <w:rPr>
                <w:rFonts w:cstheme="minorHAnsi"/>
                <w:b/>
              </w:rPr>
              <w:t>Actions for FY2018/2019</w:t>
            </w:r>
          </w:p>
          <w:p w:rsidR="00F05467" w:rsidRPr="006D3D11" w:rsidRDefault="00F05467" w:rsidP="00271EF6">
            <w:pPr>
              <w:rPr>
                <w:rFonts w:cstheme="minorHAnsi"/>
                <w:b/>
              </w:rPr>
            </w:pPr>
            <w:r w:rsidRPr="006D3D11">
              <w:rPr>
                <w:rFonts w:cstheme="minorHAnsi"/>
                <w:b/>
              </w:rPr>
              <w:t>- FY2020/2021</w:t>
            </w:r>
          </w:p>
        </w:tc>
        <w:tc>
          <w:tcPr>
            <w:tcW w:w="4131" w:type="dxa"/>
          </w:tcPr>
          <w:p w:rsidR="00F05467" w:rsidRPr="006D3D11" w:rsidRDefault="00F05467" w:rsidP="00271EF6">
            <w:pPr>
              <w:rPr>
                <w:rFonts w:cstheme="minorHAnsi"/>
                <w:b/>
              </w:rPr>
            </w:pPr>
            <w:r w:rsidRPr="006D3D11">
              <w:rPr>
                <w:rFonts w:cstheme="minorHAnsi"/>
                <w:b/>
              </w:rPr>
              <w:t>Additional Information</w:t>
            </w:r>
          </w:p>
        </w:tc>
        <w:tc>
          <w:tcPr>
            <w:tcW w:w="1497" w:type="dxa"/>
          </w:tcPr>
          <w:p w:rsidR="00F05467" w:rsidRPr="006D3D11" w:rsidRDefault="00F05467" w:rsidP="00271EF6">
            <w:pPr>
              <w:rPr>
                <w:rFonts w:cstheme="minorHAnsi"/>
                <w:b/>
              </w:rPr>
            </w:pPr>
            <w:r w:rsidRPr="006D3D11">
              <w:rPr>
                <w:rFonts w:cstheme="minorHAnsi"/>
                <w:b/>
              </w:rPr>
              <w:t>Main Implementing Entity</w:t>
            </w:r>
          </w:p>
        </w:tc>
        <w:tc>
          <w:tcPr>
            <w:tcW w:w="1381" w:type="dxa"/>
          </w:tcPr>
          <w:p w:rsidR="00F05467" w:rsidRPr="006D3D11" w:rsidRDefault="00F05467" w:rsidP="00271EF6">
            <w:pPr>
              <w:rPr>
                <w:rFonts w:cstheme="minorHAnsi"/>
                <w:b/>
              </w:rPr>
            </w:pPr>
            <w:r w:rsidRPr="006D3D11">
              <w:rPr>
                <w:rFonts w:cstheme="minorHAnsi"/>
                <w:b/>
              </w:rPr>
              <w:t>Contribution</w:t>
            </w:r>
          </w:p>
          <w:p w:rsidR="00F05467" w:rsidRPr="006D3D11" w:rsidRDefault="00F05467" w:rsidP="00271EF6">
            <w:pPr>
              <w:rPr>
                <w:rFonts w:cstheme="minorHAnsi"/>
                <w:b/>
              </w:rPr>
            </w:pPr>
            <w:r w:rsidRPr="006D3D11">
              <w:rPr>
                <w:rFonts w:cstheme="minorHAnsi"/>
                <w:b/>
              </w:rPr>
              <w:t>to Achieving</w:t>
            </w:r>
          </w:p>
          <w:p w:rsidR="00F05467" w:rsidRPr="006D3D11" w:rsidRDefault="00F05467" w:rsidP="00271EF6">
            <w:pPr>
              <w:rPr>
                <w:rFonts w:cstheme="minorHAnsi"/>
                <w:b/>
              </w:rPr>
            </w:pPr>
            <w:r w:rsidRPr="006D3D11">
              <w:rPr>
                <w:rFonts w:cstheme="minorHAnsi"/>
                <w:b/>
              </w:rPr>
              <w:t>SDG Targets</w:t>
            </w:r>
          </w:p>
        </w:tc>
      </w:tr>
      <w:tr w:rsidR="00F05467" w:rsidRPr="006D3D11" w:rsidTr="00271EF6">
        <w:tc>
          <w:tcPr>
            <w:tcW w:w="9576" w:type="dxa"/>
            <w:gridSpan w:val="5"/>
          </w:tcPr>
          <w:p w:rsidR="00F05467" w:rsidRPr="006D3D11" w:rsidRDefault="00F05467" w:rsidP="00271EF6">
            <w:pPr>
              <w:rPr>
                <w:rFonts w:cstheme="minorHAnsi"/>
              </w:rPr>
            </w:pPr>
            <w:r w:rsidRPr="006D3D11">
              <w:rPr>
                <w:rFonts w:cstheme="minorHAnsi"/>
              </w:rPr>
              <w:t>Sector Strategy: Strengthen the coordination and capacity of national statistics, data and information systems to support sustainable and inclusive national development</w:t>
            </w:r>
          </w:p>
        </w:tc>
      </w:tr>
      <w:tr w:rsidR="00F05467" w:rsidRPr="006D3D11" w:rsidTr="00271EF6">
        <w:tc>
          <w:tcPr>
            <w:tcW w:w="538" w:type="dxa"/>
          </w:tcPr>
          <w:p w:rsidR="00F05467" w:rsidRPr="006D3D11" w:rsidRDefault="00F05467" w:rsidP="00271EF6">
            <w:pPr>
              <w:rPr>
                <w:rFonts w:cstheme="minorHAnsi"/>
              </w:rPr>
            </w:pPr>
          </w:p>
        </w:tc>
        <w:tc>
          <w:tcPr>
            <w:tcW w:w="2029" w:type="dxa"/>
          </w:tcPr>
          <w:p w:rsidR="00F05467" w:rsidRPr="006D3D11" w:rsidRDefault="00F05467" w:rsidP="00271EF6">
            <w:pPr>
              <w:rPr>
                <w:rFonts w:cstheme="minorHAnsi"/>
              </w:rPr>
            </w:pPr>
            <w:r w:rsidRPr="006D3D11">
              <w:rPr>
                <w:rFonts w:cstheme="minorHAnsi"/>
              </w:rPr>
              <w:t xml:space="preserve">Continue the implementation of the Government of Jamaica Records and Information Management </w:t>
            </w:r>
            <w:proofErr w:type="spellStart"/>
            <w:r w:rsidRPr="006D3D11">
              <w:rPr>
                <w:rFonts w:cstheme="minorHAnsi"/>
              </w:rPr>
              <w:t>Programme</w:t>
            </w:r>
            <w:proofErr w:type="spellEnd"/>
            <w:r w:rsidRPr="006D3D11">
              <w:rPr>
                <w:rFonts w:cstheme="minorHAnsi"/>
              </w:rPr>
              <w:t xml:space="preserve">. </w:t>
            </w:r>
          </w:p>
        </w:tc>
        <w:tc>
          <w:tcPr>
            <w:tcW w:w="4131" w:type="dxa"/>
          </w:tcPr>
          <w:p w:rsidR="00F05467" w:rsidRPr="006D3D11" w:rsidRDefault="00F05467" w:rsidP="00271EF6">
            <w:pPr>
              <w:rPr>
                <w:rFonts w:cstheme="minorHAnsi"/>
              </w:rPr>
            </w:pPr>
            <w:r w:rsidRPr="006D3D11">
              <w:rPr>
                <w:rFonts w:cstheme="minorHAnsi"/>
              </w:rPr>
              <w:t xml:space="preserve">This </w:t>
            </w:r>
            <w:proofErr w:type="spellStart"/>
            <w:r w:rsidRPr="006D3D11">
              <w:rPr>
                <w:rFonts w:cstheme="minorHAnsi"/>
              </w:rPr>
              <w:t>Programme</w:t>
            </w:r>
            <w:proofErr w:type="spellEnd"/>
            <w:r w:rsidRPr="006D3D11">
              <w:rPr>
                <w:rFonts w:cstheme="minorHAnsi"/>
              </w:rPr>
              <w:t xml:space="preserve"> seeks to integrate the government’s information infrastructure and systems and will contribute to</w:t>
            </w:r>
          </w:p>
          <w:p w:rsidR="00F05467" w:rsidRPr="006D3D11" w:rsidRDefault="00F05467" w:rsidP="00271EF6">
            <w:pPr>
              <w:rPr>
                <w:rFonts w:cstheme="minorHAnsi"/>
              </w:rPr>
            </w:pPr>
            <w:r w:rsidRPr="006D3D11">
              <w:rPr>
                <w:rFonts w:cstheme="minorHAnsi"/>
              </w:rPr>
              <w:t xml:space="preserve">Enhancing service delivery.  The </w:t>
            </w:r>
            <w:proofErr w:type="spellStart"/>
            <w:r w:rsidRPr="006D3D11">
              <w:rPr>
                <w:rFonts w:cstheme="minorHAnsi"/>
              </w:rPr>
              <w:t>Programme</w:t>
            </w:r>
            <w:proofErr w:type="spellEnd"/>
            <w:r w:rsidRPr="006D3D11">
              <w:rPr>
                <w:rFonts w:cstheme="minorHAnsi"/>
              </w:rPr>
              <w:t xml:space="preserve"> includes 5 key results areas: </w:t>
            </w:r>
          </w:p>
          <w:p w:rsidR="00F05467" w:rsidRPr="006D3D11" w:rsidRDefault="00F05467" w:rsidP="00F05467">
            <w:pPr>
              <w:pStyle w:val="ListParagraph"/>
              <w:numPr>
                <w:ilvl w:val="0"/>
                <w:numId w:val="3"/>
              </w:numPr>
              <w:rPr>
                <w:rFonts w:cstheme="minorHAnsi"/>
              </w:rPr>
            </w:pPr>
            <w:r w:rsidRPr="006D3D11">
              <w:rPr>
                <w:rFonts w:cstheme="minorHAnsi"/>
              </w:rPr>
              <w:t xml:space="preserve">Policy, Legal and Regulatory Framework for the management of </w:t>
            </w:r>
            <w:proofErr w:type="spellStart"/>
            <w:r w:rsidRPr="006D3D11">
              <w:rPr>
                <w:rFonts w:cstheme="minorHAnsi"/>
              </w:rPr>
              <w:t>GoJ</w:t>
            </w:r>
            <w:proofErr w:type="spellEnd"/>
            <w:r w:rsidRPr="006D3D11">
              <w:rPr>
                <w:rFonts w:cstheme="minorHAnsi"/>
              </w:rPr>
              <w:t xml:space="preserve"> records and information;</w:t>
            </w:r>
          </w:p>
          <w:p w:rsidR="00F05467" w:rsidRPr="006D3D11" w:rsidRDefault="00F05467" w:rsidP="00F05467">
            <w:pPr>
              <w:pStyle w:val="ListParagraph"/>
              <w:numPr>
                <w:ilvl w:val="0"/>
                <w:numId w:val="3"/>
              </w:numPr>
              <w:rPr>
                <w:rFonts w:cstheme="minorHAnsi"/>
              </w:rPr>
            </w:pPr>
            <w:r w:rsidRPr="006D3D11">
              <w:rPr>
                <w:rFonts w:cstheme="minorHAnsi"/>
              </w:rPr>
              <w:t>Organizational Structures and Human Resources for RIM;</w:t>
            </w:r>
          </w:p>
          <w:p w:rsidR="00F05467" w:rsidRPr="006D3D11" w:rsidRDefault="00F05467" w:rsidP="00F05467">
            <w:pPr>
              <w:pStyle w:val="ListParagraph"/>
              <w:numPr>
                <w:ilvl w:val="0"/>
                <w:numId w:val="3"/>
              </w:numPr>
              <w:rPr>
                <w:rFonts w:cstheme="minorHAnsi"/>
              </w:rPr>
            </w:pPr>
            <w:r w:rsidRPr="006D3D11">
              <w:rPr>
                <w:rFonts w:cstheme="minorHAnsi"/>
              </w:rPr>
              <w:t>Reform of the Institutional Framework for JARD;</w:t>
            </w:r>
          </w:p>
          <w:p w:rsidR="00F05467" w:rsidRPr="006D3D11" w:rsidRDefault="00F05467" w:rsidP="00F05467">
            <w:pPr>
              <w:pStyle w:val="ListParagraph"/>
              <w:numPr>
                <w:ilvl w:val="0"/>
                <w:numId w:val="3"/>
              </w:numPr>
              <w:rPr>
                <w:rFonts w:cstheme="minorHAnsi"/>
              </w:rPr>
            </w:pPr>
            <w:r w:rsidRPr="006D3D11">
              <w:rPr>
                <w:rFonts w:cstheme="minorHAnsi"/>
              </w:rPr>
              <w:t>RIM Systems; and</w:t>
            </w:r>
          </w:p>
          <w:p w:rsidR="00F05467" w:rsidRPr="006D3D11" w:rsidRDefault="00F05467" w:rsidP="00F05467">
            <w:pPr>
              <w:pStyle w:val="ListParagraph"/>
              <w:numPr>
                <w:ilvl w:val="0"/>
                <w:numId w:val="3"/>
              </w:numPr>
              <w:rPr>
                <w:rFonts w:cstheme="minorHAnsi"/>
              </w:rPr>
            </w:pPr>
            <w:r w:rsidRPr="006D3D11">
              <w:rPr>
                <w:rFonts w:cstheme="minorHAnsi"/>
              </w:rPr>
              <w:t>Capacitation of Key Stakeholders.</w:t>
            </w:r>
          </w:p>
          <w:p w:rsidR="00F05467" w:rsidRPr="006D3D11" w:rsidRDefault="00F05467" w:rsidP="00271EF6">
            <w:pPr>
              <w:ind w:left="360"/>
              <w:rPr>
                <w:rFonts w:cstheme="minorHAnsi"/>
              </w:rPr>
            </w:pPr>
          </w:p>
        </w:tc>
        <w:tc>
          <w:tcPr>
            <w:tcW w:w="1497" w:type="dxa"/>
          </w:tcPr>
          <w:p w:rsidR="00F05467" w:rsidRPr="006D3D11" w:rsidRDefault="00F05467" w:rsidP="00271EF6">
            <w:pPr>
              <w:rPr>
                <w:rFonts w:cstheme="minorHAnsi"/>
              </w:rPr>
            </w:pPr>
            <w:proofErr w:type="spellStart"/>
            <w:r w:rsidRPr="006D3D11">
              <w:rPr>
                <w:rFonts w:cstheme="minorHAnsi"/>
              </w:rPr>
              <w:t>MoEYI</w:t>
            </w:r>
            <w:proofErr w:type="spellEnd"/>
            <w:r w:rsidRPr="006D3D11">
              <w:rPr>
                <w:rFonts w:cstheme="minorHAnsi"/>
              </w:rPr>
              <w:t xml:space="preserve"> and Jamaica Archives and Records Department (JARD)</w:t>
            </w:r>
          </w:p>
        </w:tc>
        <w:tc>
          <w:tcPr>
            <w:tcW w:w="1381" w:type="dxa"/>
          </w:tcPr>
          <w:p w:rsidR="00F05467" w:rsidRPr="006D3D11" w:rsidRDefault="00F05467" w:rsidP="00271EF6">
            <w:pPr>
              <w:rPr>
                <w:rFonts w:cstheme="minorHAnsi"/>
              </w:rPr>
            </w:pPr>
          </w:p>
        </w:tc>
      </w:tr>
      <w:tr w:rsidR="00F05467" w:rsidRPr="006D3D11" w:rsidTr="00271EF6">
        <w:tc>
          <w:tcPr>
            <w:tcW w:w="538" w:type="dxa"/>
          </w:tcPr>
          <w:p w:rsidR="00F05467" w:rsidRPr="00271EF6" w:rsidRDefault="00F05467" w:rsidP="00271EF6">
            <w:pPr>
              <w:rPr>
                <w:rFonts w:cstheme="minorHAnsi"/>
              </w:rPr>
            </w:pPr>
            <w:r w:rsidRPr="00271EF6">
              <w:rPr>
                <w:rFonts w:cstheme="minorHAnsi"/>
              </w:rPr>
              <w:t xml:space="preserve"> </w:t>
            </w:r>
          </w:p>
        </w:tc>
        <w:tc>
          <w:tcPr>
            <w:tcW w:w="2029" w:type="dxa"/>
          </w:tcPr>
          <w:p w:rsidR="00F05467" w:rsidRPr="00271EF6" w:rsidRDefault="00F05467" w:rsidP="00271EF6">
            <w:pPr>
              <w:rPr>
                <w:rFonts w:cstheme="minorHAnsi"/>
              </w:rPr>
            </w:pPr>
            <w:r w:rsidRPr="00271EF6">
              <w:rPr>
                <w:rFonts w:cstheme="minorHAnsi"/>
              </w:rPr>
              <w:t>Complete Policy on Data and Collection and Information Sharing within the Public Sector.</w:t>
            </w:r>
          </w:p>
        </w:tc>
        <w:tc>
          <w:tcPr>
            <w:tcW w:w="4131" w:type="dxa"/>
          </w:tcPr>
          <w:p w:rsidR="00F05467" w:rsidRPr="00271EF6" w:rsidRDefault="00F05467" w:rsidP="00271EF6">
            <w:pPr>
              <w:rPr>
                <w:rFonts w:cstheme="minorHAnsi"/>
              </w:rPr>
            </w:pPr>
            <w:r w:rsidRPr="00271EF6">
              <w:rPr>
                <w:rFonts w:cstheme="minorHAnsi"/>
              </w:rPr>
              <w:t>The Policy will l establish a comprehensive framework to enable government entities to be able to access accurate, current and quality data for purposes of verification, planning, making sound and effective decisions, engaging in evidence based policy making and delivering public services more seamlessly.</w:t>
            </w:r>
          </w:p>
        </w:tc>
        <w:tc>
          <w:tcPr>
            <w:tcW w:w="1497" w:type="dxa"/>
          </w:tcPr>
          <w:p w:rsidR="00F05467" w:rsidRPr="00271EF6" w:rsidRDefault="00F05467" w:rsidP="00271EF6">
            <w:pPr>
              <w:rPr>
                <w:rFonts w:cstheme="minorHAnsi"/>
              </w:rPr>
            </w:pPr>
            <w:proofErr w:type="spellStart"/>
            <w:r w:rsidRPr="00271EF6">
              <w:rPr>
                <w:rFonts w:cstheme="minorHAnsi"/>
              </w:rPr>
              <w:t>MoEYI</w:t>
            </w:r>
            <w:proofErr w:type="spellEnd"/>
            <w:r w:rsidRPr="00271EF6">
              <w:rPr>
                <w:rFonts w:cstheme="minorHAnsi"/>
              </w:rPr>
              <w:t xml:space="preserve"> </w:t>
            </w:r>
          </w:p>
        </w:tc>
        <w:tc>
          <w:tcPr>
            <w:tcW w:w="1381" w:type="dxa"/>
          </w:tcPr>
          <w:p w:rsidR="00F05467" w:rsidRPr="00271EF6" w:rsidRDefault="00F05467" w:rsidP="00271EF6">
            <w:pPr>
              <w:rPr>
                <w:rFonts w:cstheme="minorHAnsi"/>
              </w:rPr>
            </w:pPr>
          </w:p>
        </w:tc>
      </w:tr>
      <w:tr w:rsidR="00F05467" w:rsidRPr="006D3D11" w:rsidTr="00271EF6">
        <w:tc>
          <w:tcPr>
            <w:tcW w:w="538" w:type="dxa"/>
          </w:tcPr>
          <w:p w:rsidR="00F05467" w:rsidRPr="00271EF6" w:rsidRDefault="00F05467" w:rsidP="00271EF6">
            <w:pPr>
              <w:rPr>
                <w:rFonts w:cstheme="minorHAnsi"/>
              </w:rPr>
            </w:pPr>
          </w:p>
        </w:tc>
        <w:tc>
          <w:tcPr>
            <w:tcW w:w="2029" w:type="dxa"/>
          </w:tcPr>
          <w:p w:rsidR="00F05467" w:rsidRPr="00271EF6" w:rsidRDefault="00F05467" w:rsidP="00271EF6">
            <w:pPr>
              <w:rPr>
                <w:rFonts w:cstheme="minorHAnsi"/>
              </w:rPr>
            </w:pPr>
            <w:r w:rsidRPr="00271EF6">
              <w:rPr>
                <w:rFonts w:cstheme="minorHAnsi"/>
              </w:rPr>
              <w:t>Moderni</w:t>
            </w:r>
            <w:r w:rsidR="00BD14F5">
              <w:rPr>
                <w:rFonts w:cstheme="minorHAnsi"/>
              </w:rPr>
              <w:t>z</w:t>
            </w:r>
            <w:r w:rsidRPr="00271EF6">
              <w:rPr>
                <w:rFonts w:cstheme="minorHAnsi"/>
              </w:rPr>
              <w:t>e the</w:t>
            </w:r>
          </w:p>
          <w:p w:rsidR="00F05467" w:rsidRPr="00271EF6" w:rsidRDefault="00F05467" w:rsidP="00271EF6">
            <w:pPr>
              <w:rPr>
                <w:rFonts w:cstheme="minorHAnsi"/>
              </w:rPr>
            </w:pPr>
            <w:r w:rsidRPr="00271EF6">
              <w:rPr>
                <w:rFonts w:cstheme="minorHAnsi"/>
              </w:rPr>
              <w:t>Electronic Media and</w:t>
            </w:r>
          </w:p>
          <w:p w:rsidR="00F05467" w:rsidRPr="00271EF6" w:rsidRDefault="00F05467" w:rsidP="00271EF6">
            <w:pPr>
              <w:rPr>
                <w:rFonts w:cstheme="minorHAnsi"/>
              </w:rPr>
            </w:pPr>
            <w:r w:rsidRPr="00271EF6">
              <w:rPr>
                <w:rFonts w:cstheme="minorHAnsi"/>
              </w:rPr>
              <w:t>Content Sector/environment</w:t>
            </w:r>
          </w:p>
        </w:tc>
        <w:tc>
          <w:tcPr>
            <w:tcW w:w="4131" w:type="dxa"/>
          </w:tcPr>
          <w:p w:rsidR="00F05467" w:rsidRPr="006D3D11" w:rsidRDefault="00F05467" w:rsidP="00271EF6">
            <w:pPr>
              <w:rPr>
                <w:rFonts w:cstheme="minorHAnsi"/>
              </w:rPr>
            </w:pPr>
            <w:r w:rsidRPr="00271EF6">
              <w:rPr>
                <w:rFonts w:eastAsia="Calibri" w:cstheme="minorHAnsi"/>
                <w:sz w:val="24"/>
                <w:szCs w:val="24"/>
                <w:lang w:val="en-GB"/>
              </w:rPr>
              <w:t xml:space="preserve">This is intended to provide a modern policy, legal, regulatory and institutional framework, which contributes to the creation of a knowledge-based, digital literate and empowered citizenry, as well as enables a competitive electronic media industry to advance national development </w:t>
            </w:r>
            <w:r w:rsidRPr="00271EF6">
              <w:rPr>
                <w:rFonts w:eastAsia="Calibri" w:cstheme="minorHAnsi"/>
                <w:sz w:val="24"/>
                <w:szCs w:val="24"/>
                <w:lang w:val="en-GB"/>
              </w:rPr>
              <w:lastRenderedPageBreak/>
              <w:t>and add value to the global information society</w:t>
            </w:r>
          </w:p>
        </w:tc>
        <w:tc>
          <w:tcPr>
            <w:tcW w:w="1497" w:type="dxa"/>
          </w:tcPr>
          <w:p w:rsidR="00F05467" w:rsidRPr="00271EF6" w:rsidRDefault="00F05467" w:rsidP="00271EF6">
            <w:pPr>
              <w:rPr>
                <w:rFonts w:cstheme="minorHAnsi"/>
              </w:rPr>
            </w:pPr>
            <w:proofErr w:type="spellStart"/>
            <w:r w:rsidRPr="00271EF6">
              <w:rPr>
                <w:rFonts w:cstheme="minorHAnsi"/>
              </w:rPr>
              <w:lastRenderedPageBreak/>
              <w:t>MoEYI</w:t>
            </w:r>
            <w:proofErr w:type="spellEnd"/>
            <w:r w:rsidRPr="00271EF6">
              <w:rPr>
                <w:rFonts w:cstheme="minorHAnsi"/>
              </w:rPr>
              <w:t>, Broadcasting Commission (BCJ)</w:t>
            </w:r>
          </w:p>
        </w:tc>
        <w:tc>
          <w:tcPr>
            <w:tcW w:w="1381" w:type="dxa"/>
          </w:tcPr>
          <w:p w:rsidR="00F05467" w:rsidRPr="00271EF6" w:rsidRDefault="00F05467" w:rsidP="00271EF6">
            <w:pPr>
              <w:rPr>
                <w:rFonts w:cstheme="minorHAnsi"/>
              </w:rPr>
            </w:pPr>
          </w:p>
        </w:tc>
      </w:tr>
      <w:tr w:rsidR="00F05467" w:rsidRPr="006D3D11" w:rsidTr="00271EF6">
        <w:tc>
          <w:tcPr>
            <w:tcW w:w="538" w:type="dxa"/>
          </w:tcPr>
          <w:p w:rsidR="00F05467" w:rsidRPr="00271EF6" w:rsidRDefault="00F05467" w:rsidP="00271EF6">
            <w:pPr>
              <w:rPr>
                <w:rFonts w:cstheme="minorHAnsi"/>
              </w:rPr>
            </w:pPr>
          </w:p>
        </w:tc>
        <w:tc>
          <w:tcPr>
            <w:tcW w:w="2029" w:type="dxa"/>
          </w:tcPr>
          <w:p w:rsidR="00F05467" w:rsidRPr="00271EF6" w:rsidRDefault="00F05467" w:rsidP="00271EF6">
            <w:pPr>
              <w:rPr>
                <w:rFonts w:cstheme="minorHAnsi"/>
              </w:rPr>
            </w:pPr>
            <w:r w:rsidRPr="00271EF6">
              <w:rPr>
                <w:rFonts w:cstheme="minorHAnsi"/>
              </w:rPr>
              <w:t xml:space="preserve">Continue efforts to implement the National Digital Terrestrial Television Switchover </w:t>
            </w:r>
          </w:p>
        </w:tc>
        <w:tc>
          <w:tcPr>
            <w:tcW w:w="4131" w:type="dxa"/>
          </w:tcPr>
          <w:p w:rsidR="00F05467" w:rsidRPr="00271EF6" w:rsidRDefault="00F05467" w:rsidP="00271EF6">
            <w:pPr>
              <w:rPr>
                <w:rFonts w:cstheme="minorHAnsi"/>
              </w:rPr>
            </w:pPr>
            <w:r w:rsidRPr="00271EF6">
              <w:rPr>
                <w:rFonts w:cstheme="minorHAnsi"/>
              </w:rPr>
              <w:t xml:space="preserve">The Digital Switchover will transform the media landscape in Jamaica and will support the transition to a digital economy and society.   </w:t>
            </w:r>
          </w:p>
        </w:tc>
        <w:tc>
          <w:tcPr>
            <w:tcW w:w="1497" w:type="dxa"/>
          </w:tcPr>
          <w:p w:rsidR="00F05467" w:rsidRPr="00271EF6" w:rsidRDefault="00F05467" w:rsidP="00271EF6">
            <w:pPr>
              <w:rPr>
                <w:rFonts w:cstheme="minorHAnsi"/>
              </w:rPr>
            </w:pPr>
            <w:r w:rsidRPr="00271EF6">
              <w:rPr>
                <w:rFonts w:cstheme="minorHAnsi"/>
              </w:rPr>
              <w:t xml:space="preserve">BCJ, </w:t>
            </w:r>
            <w:proofErr w:type="spellStart"/>
            <w:r w:rsidRPr="00271EF6">
              <w:rPr>
                <w:rFonts w:cstheme="minorHAnsi"/>
              </w:rPr>
              <w:t>MoEYI</w:t>
            </w:r>
            <w:proofErr w:type="spellEnd"/>
          </w:p>
        </w:tc>
        <w:tc>
          <w:tcPr>
            <w:tcW w:w="1381" w:type="dxa"/>
          </w:tcPr>
          <w:p w:rsidR="00F05467" w:rsidRPr="00271EF6" w:rsidRDefault="00F05467" w:rsidP="00271EF6">
            <w:pPr>
              <w:rPr>
                <w:rFonts w:cstheme="minorHAnsi"/>
              </w:rPr>
            </w:pPr>
          </w:p>
        </w:tc>
      </w:tr>
      <w:tr w:rsidR="00F05467" w:rsidRPr="006D3D11" w:rsidTr="00271EF6">
        <w:tc>
          <w:tcPr>
            <w:tcW w:w="538" w:type="dxa"/>
          </w:tcPr>
          <w:p w:rsidR="00F05467" w:rsidRPr="00271EF6" w:rsidRDefault="00F05467" w:rsidP="00271EF6">
            <w:pPr>
              <w:rPr>
                <w:rFonts w:cstheme="minorHAnsi"/>
              </w:rPr>
            </w:pPr>
          </w:p>
        </w:tc>
        <w:tc>
          <w:tcPr>
            <w:tcW w:w="2029" w:type="dxa"/>
          </w:tcPr>
          <w:p w:rsidR="00F05467" w:rsidRPr="00271EF6" w:rsidRDefault="00F05467" w:rsidP="00271EF6">
            <w:pPr>
              <w:rPr>
                <w:rFonts w:cstheme="minorHAnsi"/>
              </w:rPr>
            </w:pPr>
            <w:r w:rsidRPr="00271EF6">
              <w:rPr>
                <w:rFonts w:cstheme="minorHAnsi"/>
              </w:rPr>
              <w:t>Continue efforts to improve the organizational</w:t>
            </w:r>
          </w:p>
          <w:p w:rsidR="00F05467" w:rsidRPr="00271EF6" w:rsidRDefault="00F05467" w:rsidP="00271EF6">
            <w:pPr>
              <w:rPr>
                <w:rFonts w:cstheme="minorHAnsi"/>
              </w:rPr>
            </w:pPr>
            <w:r w:rsidRPr="00271EF6">
              <w:rPr>
                <w:rFonts w:cstheme="minorHAnsi"/>
              </w:rPr>
              <w:t>Responsiveness and efficiency of the Broadcast Regulatory.</w:t>
            </w:r>
          </w:p>
        </w:tc>
        <w:tc>
          <w:tcPr>
            <w:tcW w:w="4131" w:type="dxa"/>
          </w:tcPr>
          <w:p w:rsidR="00F05467" w:rsidRPr="00271EF6" w:rsidRDefault="00F05467" w:rsidP="00271EF6">
            <w:pPr>
              <w:rPr>
                <w:rFonts w:cstheme="minorHAnsi"/>
              </w:rPr>
            </w:pPr>
            <w:r w:rsidRPr="00271EF6">
              <w:rPr>
                <w:rFonts w:cstheme="minorHAnsi"/>
              </w:rPr>
              <w:t>A transitional institutional framework will establish a modern regulator of the Electronic Media, that is to say, a rules-based and transparent Regulator which is designed and equipped to address the current issues/trends in the sector.  The Regulatory is to become the Content Regulator</w:t>
            </w:r>
          </w:p>
        </w:tc>
        <w:tc>
          <w:tcPr>
            <w:tcW w:w="1497" w:type="dxa"/>
          </w:tcPr>
          <w:p w:rsidR="00F05467" w:rsidRPr="00271EF6" w:rsidRDefault="00F05467" w:rsidP="00271EF6">
            <w:pPr>
              <w:rPr>
                <w:rFonts w:cstheme="minorHAnsi"/>
              </w:rPr>
            </w:pPr>
            <w:proofErr w:type="spellStart"/>
            <w:r w:rsidRPr="00271EF6">
              <w:rPr>
                <w:rFonts w:cstheme="minorHAnsi"/>
              </w:rPr>
              <w:t>MoEYI</w:t>
            </w:r>
            <w:proofErr w:type="spellEnd"/>
            <w:r w:rsidRPr="00271EF6">
              <w:rPr>
                <w:rFonts w:cstheme="minorHAnsi"/>
              </w:rPr>
              <w:t>, BCJ</w:t>
            </w:r>
          </w:p>
        </w:tc>
        <w:tc>
          <w:tcPr>
            <w:tcW w:w="1381" w:type="dxa"/>
          </w:tcPr>
          <w:p w:rsidR="00F05467" w:rsidRPr="00271EF6" w:rsidRDefault="00F05467" w:rsidP="00271EF6">
            <w:pPr>
              <w:rPr>
                <w:rFonts w:cstheme="minorHAnsi"/>
              </w:rPr>
            </w:pPr>
          </w:p>
        </w:tc>
      </w:tr>
    </w:tbl>
    <w:p w:rsidR="00F05467" w:rsidRPr="004D4FD7" w:rsidRDefault="00F05467" w:rsidP="00F05467"/>
    <w:p w:rsidR="00F05467" w:rsidRDefault="00F05467" w:rsidP="00997905"/>
    <w:sectPr w:rsidR="00F054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A12C2"/>
    <w:multiLevelType w:val="hybridMultilevel"/>
    <w:tmpl w:val="A866F832"/>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 w15:restartNumberingAfterBreak="0">
    <w:nsid w:val="4A241CF3"/>
    <w:multiLevelType w:val="hybridMultilevel"/>
    <w:tmpl w:val="C49AD20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7EA025DA"/>
    <w:multiLevelType w:val="hybridMultilevel"/>
    <w:tmpl w:val="A0C8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05"/>
    <w:rsid w:val="00997905"/>
    <w:rsid w:val="00A17DD0"/>
    <w:rsid w:val="00A96599"/>
    <w:rsid w:val="00BD14F5"/>
    <w:rsid w:val="00F05467"/>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67E8"/>
  <w15:docId w15:val="{D4CD37FD-552D-4A92-A27D-94CA6EFA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79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905"/>
    <w:pPr>
      <w:ind w:left="720"/>
      <w:contextualSpacing/>
    </w:pPr>
  </w:style>
  <w:style w:type="character" w:customStyle="1" w:styleId="Heading1Char">
    <w:name w:val="Heading 1 Char"/>
    <w:basedOn w:val="DefaultParagraphFont"/>
    <w:link w:val="Heading1"/>
    <w:uiPriority w:val="9"/>
    <w:rsid w:val="00997905"/>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997905"/>
    <w:rPr>
      <w:b/>
      <w:bCs/>
    </w:rPr>
  </w:style>
  <w:style w:type="table" w:styleId="TableGrid">
    <w:name w:val="Table Grid"/>
    <w:basedOn w:val="TableNormal"/>
    <w:uiPriority w:val="59"/>
    <w:rsid w:val="00F0546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Desree Ebanks</dc:creator>
  <cp:lastModifiedBy>Corrine Duffus</cp:lastModifiedBy>
  <cp:revision>2</cp:revision>
  <dcterms:created xsi:type="dcterms:W3CDTF">2020-06-29T16:59:00Z</dcterms:created>
  <dcterms:modified xsi:type="dcterms:W3CDTF">2020-06-29T16:59:00Z</dcterms:modified>
</cp:coreProperties>
</file>